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786F" w14:textId="69264527" w:rsidR="00214AB7" w:rsidRPr="00EA0D60" w:rsidRDefault="00C51C42" w:rsidP="00214AB7">
      <w:pPr>
        <w:jc w:val="center"/>
      </w:pPr>
      <w:r>
        <w:rPr>
          <w:b/>
          <w:iCs/>
          <w:sz w:val="20"/>
          <w:szCs w:val="20"/>
          <w:u w:val="single"/>
          <w:lang w:val="es-CR"/>
        </w:rPr>
        <w:t xml:space="preserve">Caso </w:t>
      </w:r>
      <w:r w:rsidR="004404F6" w:rsidRPr="004404F6">
        <w:rPr>
          <w:b/>
          <w:iCs/>
          <w:sz w:val="20"/>
          <w:szCs w:val="20"/>
          <w:u w:val="single"/>
          <w:lang w:val="es-CR"/>
        </w:rPr>
        <w:t>Nissen Pessolani Vs. Paraguay</w:t>
      </w:r>
      <w:r w:rsidR="00484D15" w:rsidRPr="00555F00">
        <w:rPr>
          <w:b/>
          <w:iCs/>
          <w:sz w:val="20"/>
          <w:szCs w:val="20"/>
          <w:u w:val="single"/>
          <w:lang w:val="es-CR"/>
        </w:rPr>
        <w:t>:</w:t>
      </w:r>
      <w:r w:rsidR="00484D15">
        <w:rPr>
          <w:b/>
          <w:i/>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6ED6D9B2" w14:textId="1CA3834B" w:rsidR="00484D15" w:rsidRDefault="00484D15" w:rsidP="00097803">
      <w:pPr>
        <w:jc w:val="both"/>
        <w:rPr>
          <w:sz w:val="20"/>
          <w:szCs w:val="20"/>
        </w:rPr>
      </w:pPr>
    </w:p>
    <w:p w14:paraId="47F09BE1" w14:textId="77777777" w:rsidR="00F243DB" w:rsidRPr="004404F6" w:rsidRDefault="00F243DB" w:rsidP="00097803">
      <w:pPr>
        <w:jc w:val="both"/>
        <w:rPr>
          <w:sz w:val="20"/>
          <w:szCs w:val="20"/>
        </w:rPr>
      </w:pPr>
    </w:p>
    <w:p w14:paraId="376C62B1" w14:textId="77777777" w:rsidR="00712188" w:rsidRDefault="00712188" w:rsidP="00712188">
      <w:pPr>
        <w:jc w:val="both"/>
        <w:rPr>
          <w:rFonts w:eastAsia="Cambria" w:cs="Times New Roman"/>
          <w:b/>
          <w:sz w:val="20"/>
          <w:szCs w:val="20"/>
          <w:lang w:val="es-ES"/>
        </w:rPr>
      </w:pPr>
      <w:r>
        <w:rPr>
          <w:rFonts w:eastAsia="Cambria" w:cs="Times New Roman"/>
          <w:b/>
          <w:sz w:val="20"/>
          <w:szCs w:val="20"/>
          <w:lang w:val="es-ES"/>
        </w:rPr>
        <w:t>Cumplimiento parcial:</w:t>
      </w:r>
    </w:p>
    <w:p w14:paraId="5412F38C" w14:textId="77777777" w:rsidR="00712188" w:rsidRDefault="00712188" w:rsidP="00712188">
      <w:pPr>
        <w:jc w:val="both"/>
        <w:rPr>
          <w:rFonts w:eastAsia="Cambria" w:cs="Times New Roman"/>
          <w:b/>
          <w:sz w:val="20"/>
          <w:szCs w:val="20"/>
          <w:lang w:val="es-ES"/>
        </w:rPr>
      </w:pPr>
    </w:p>
    <w:p w14:paraId="76161421" w14:textId="51751230" w:rsidR="00712188" w:rsidRPr="004404F6" w:rsidRDefault="00712188" w:rsidP="00712188">
      <w:pPr>
        <w:jc w:val="both"/>
        <w:rPr>
          <w:sz w:val="20"/>
          <w:szCs w:val="20"/>
        </w:rPr>
      </w:pPr>
      <w:r>
        <w:rPr>
          <w:sz w:val="20"/>
          <w:szCs w:val="20"/>
        </w:rPr>
        <w:t>1</w:t>
      </w:r>
      <w:r w:rsidRPr="004404F6">
        <w:rPr>
          <w:sz w:val="20"/>
          <w:szCs w:val="20"/>
        </w:rPr>
        <w:t xml:space="preserve">. </w:t>
      </w:r>
      <w:r w:rsidRPr="004404F6">
        <w:rPr>
          <w:sz w:val="20"/>
          <w:szCs w:val="20"/>
        </w:rPr>
        <w:tab/>
        <w:t xml:space="preserve">El Estado realizará, en el plazo de seis meses, las publicaciones indicadas en el párrafo 115 de la Sentencia. </w:t>
      </w:r>
    </w:p>
    <w:p w14:paraId="480F20C3" w14:textId="77777777" w:rsidR="00712188" w:rsidRDefault="00712188" w:rsidP="00712188">
      <w:pPr>
        <w:jc w:val="both"/>
        <w:rPr>
          <w:rFonts w:eastAsia="Cambria" w:cs="Times New Roman"/>
          <w:b/>
          <w:sz w:val="20"/>
          <w:szCs w:val="20"/>
        </w:rPr>
      </w:pPr>
    </w:p>
    <w:p w14:paraId="0768AC8A" w14:textId="77777777" w:rsidR="00712188" w:rsidRDefault="00712188" w:rsidP="00712188">
      <w:pPr>
        <w:jc w:val="both"/>
        <w:rPr>
          <w:rFonts w:eastAsia="Cambria" w:cs="Times New Roman"/>
          <w:bCs/>
          <w:sz w:val="20"/>
          <w:szCs w:val="20"/>
        </w:rPr>
      </w:pPr>
      <w:r w:rsidRPr="00560E58">
        <w:rPr>
          <w:rFonts w:eastAsia="Cambria" w:cs="Times New Roman"/>
          <w:bCs/>
          <w:sz w:val="20"/>
          <w:szCs w:val="20"/>
        </w:rPr>
        <w:t xml:space="preserve">En </w:t>
      </w:r>
      <w:r>
        <w:rPr>
          <w:rFonts w:eastAsia="Cambria" w:cs="Times New Roman"/>
          <w:bCs/>
          <w:sz w:val="20"/>
          <w:szCs w:val="20"/>
        </w:rPr>
        <w:t>los</w:t>
      </w:r>
      <w:r w:rsidRPr="00560E58">
        <w:rPr>
          <w:rFonts w:eastAsia="Cambria" w:cs="Times New Roman"/>
          <w:bCs/>
          <w:sz w:val="20"/>
          <w:szCs w:val="20"/>
        </w:rPr>
        <w:t xml:space="preserve"> Considerando</w:t>
      </w:r>
      <w:r>
        <w:rPr>
          <w:rFonts w:eastAsia="Cambria" w:cs="Times New Roman"/>
          <w:bCs/>
          <w:sz w:val="20"/>
          <w:szCs w:val="20"/>
        </w:rPr>
        <w:t>s</w:t>
      </w:r>
      <w:r w:rsidRPr="00560E58">
        <w:rPr>
          <w:rFonts w:eastAsia="Cambria" w:cs="Times New Roman"/>
          <w:bCs/>
          <w:sz w:val="20"/>
          <w:szCs w:val="20"/>
        </w:rPr>
        <w:t xml:space="preserve"> </w:t>
      </w:r>
      <w:r>
        <w:rPr>
          <w:rFonts w:eastAsia="Cambria" w:cs="Times New Roman"/>
          <w:bCs/>
          <w:sz w:val="20"/>
          <w:szCs w:val="20"/>
        </w:rPr>
        <w:t>6 y 7</w:t>
      </w:r>
      <w:r w:rsidRPr="00560E58">
        <w:rPr>
          <w:rFonts w:eastAsia="Cambria" w:cs="Times New Roman"/>
          <w:bCs/>
          <w:sz w:val="20"/>
          <w:szCs w:val="20"/>
        </w:rPr>
        <w:t xml:space="preserve"> de la Resolución de la Corte de </w:t>
      </w:r>
      <w:r>
        <w:rPr>
          <w:rFonts w:eastAsia="Cambria" w:cs="Times New Roman"/>
          <w:bCs/>
          <w:sz w:val="20"/>
          <w:szCs w:val="20"/>
        </w:rPr>
        <w:t>2 de julio de 2024</w:t>
      </w:r>
      <w:r w:rsidRPr="00560E58">
        <w:rPr>
          <w:rFonts w:eastAsia="Cambria" w:cs="Times New Roman"/>
          <w:bCs/>
          <w:sz w:val="20"/>
          <w:szCs w:val="20"/>
        </w:rPr>
        <w:t>, se explica lo que continúa pendiente de cumplimiento respecto a la presente medida de reparación:</w:t>
      </w:r>
    </w:p>
    <w:p w14:paraId="55AFD97D" w14:textId="77777777" w:rsidR="00712188" w:rsidRDefault="00712188" w:rsidP="00712188">
      <w:pPr>
        <w:jc w:val="both"/>
        <w:rPr>
          <w:rFonts w:eastAsia="Cambria" w:cs="Times New Roman"/>
          <w:bCs/>
          <w:sz w:val="20"/>
          <w:szCs w:val="20"/>
        </w:rPr>
      </w:pPr>
    </w:p>
    <w:p w14:paraId="56376275" w14:textId="77777777" w:rsidR="00712188" w:rsidRPr="004D4C18" w:rsidRDefault="00712188" w:rsidP="00712188">
      <w:pPr>
        <w:ind w:left="720" w:right="713"/>
        <w:jc w:val="both"/>
        <w:rPr>
          <w:rFonts w:eastAsia="Cambria" w:cs="Times New Roman"/>
          <w:bCs/>
          <w:sz w:val="18"/>
          <w:szCs w:val="18"/>
        </w:rPr>
      </w:pPr>
      <w:r w:rsidRPr="004D4C18">
        <w:rPr>
          <w:rFonts w:eastAsia="Cambria" w:cs="Times New Roman"/>
          <w:bCs/>
          <w:sz w:val="18"/>
          <w:szCs w:val="18"/>
        </w:rPr>
        <w:t xml:space="preserve">6. De acuerdo con la información y prueba aportada por el Estado, así como lo observado por el representante, la Corte considera que Paraguay ha dado cumplimiento parcial a las medidas relativas a la publicación y difusión de la Sentencia y su resumen oficial ordenadas en el punto resolutivo séptimo y el párrafo 115 de la Sentencia, ya que ha constatado que publicó: (i) el resumen oficial de la Sentencia en la “Gaceta Oficial”, y (ii) la Sentencia en su integridad, disponible por el período de un año, en los sitios </w:t>
      </w:r>
      <w:r w:rsidRPr="004D4C18">
        <w:rPr>
          <w:rFonts w:eastAsia="Cambria" w:cs="Times New Roman"/>
          <w:bCs/>
          <w:i/>
          <w:iCs/>
          <w:sz w:val="18"/>
          <w:szCs w:val="18"/>
        </w:rPr>
        <w:t>web</w:t>
      </w:r>
      <w:r w:rsidRPr="004D4C18">
        <w:rPr>
          <w:rFonts w:eastAsia="Cambria" w:cs="Times New Roman"/>
          <w:bCs/>
          <w:sz w:val="18"/>
          <w:szCs w:val="18"/>
        </w:rPr>
        <w:t xml:space="preserve"> oficiales del Jurado de Enjuiciamiento de Magistrados y del Ministerio Público, accesibles al público desde la página de inicio.</w:t>
      </w:r>
    </w:p>
    <w:p w14:paraId="25C8F860" w14:textId="77777777" w:rsidR="00712188" w:rsidRPr="004D4C18" w:rsidRDefault="00712188" w:rsidP="00712188">
      <w:pPr>
        <w:ind w:left="720" w:right="713"/>
        <w:jc w:val="both"/>
        <w:rPr>
          <w:rFonts w:eastAsia="Cambria" w:cs="Times New Roman"/>
          <w:bCs/>
          <w:sz w:val="18"/>
          <w:szCs w:val="18"/>
        </w:rPr>
      </w:pPr>
    </w:p>
    <w:p w14:paraId="29ED347F" w14:textId="77777777" w:rsidR="00712188" w:rsidRPr="004D4C18" w:rsidRDefault="00712188" w:rsidP="00712188">
      <w:pPr>
        <w:ind w:left="720" w:right="713"/>
        <w:jc w:val="both"/>
        <w:rPr>
          <w:rFonts w:eastAsia="Cambria" w:cs="Times New Roman"/>
          <w:bCs/>
          <w:sz w:val="18"/>
          <w:szCs w:val="18"/>
        </w:rPr>
      </w:pPr>
      <w:r w:rsidRPr="004D4C18">
        <w:rPr>
          <w:rFonts w:eastAsia="Cambria" w:cs="Times New Roman"/>
          <w:bCs/>
          <w:sz w:val="18"/>
          <w:szCs w:val="18"/>
        </w:rPr>
        <w:t>7. Respecto al extremo de la medida relativo a la publicación del resumen oficial de la Sentencia en un diario de amplia circulación nacional, en mayo de 2024 Paraguay presentó una “propuesta”, suscrita por la víctima y su representante, para cambiar la modalidad de ejecución, y solicitó a este Tribunal aprobarla. Dicha propuesta consiste en realizar la publicación del referido resumen “en formato audiovisual” a través de “medios digitales de comunicación del Estado de amplia difusión nacional”, disponible por “tiempo indeterminado”. En junio de 2024, el representante expresó “su conformidad para que se proceda a la publicación del resumen […] en la forma propuesta por el Estado”. Tomando en cuenta que las partes están de acuerdo con dicho cambio en la modalidad de ejecución, la Corte estima pertinente aprobarlo. Asimismo, considerando que el plazo otorgado en la Sentencia venció el 1 de agosto de 2023, se requiere al Estado dar pronto cumplimiento a este componente de la medida, en los términos acordados con la víctima y su representante.</w:t>
      </w:r>
    </w:p>
    <w:p w14:paraId="02FDE6F3" w14:textId="77777777" w:rsidR="004404F6" w:rsidRPr="00712188" w:rsidRDefault="004404F6">
      <w:pPr>
        <w:jc w:val="both"/>
        <w:rPr>
          <w:rFonts w:eastAsia="Cambria" w:cs="Times New Roman"/>
          <w:bCs/>
          <w:sz w:val="20"/>
          <w:szCs w:val="20"/>
        </w:rPr>
      </w:pPr>
    </w:p>
    <w:sectPr w:rsidR="004404F6" w:rsidRPr="0071218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D6F3C" w14:textId="77777777" w:rsidR="009721A5" w:rsidRDefault="009721A5" w:rsidP="009F7EF4">
      <w:r>
        <w:separator/>
      </w:r>
    </w:p>
  </w:endnote>
  <w:endnote w:type="continuationSeparator" w:id="0">
    <w:p w14:paraId="323611D9" w14:textId="77777777" w:rsidR="009721A5" w:rsidRDefault="009721A5"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F1CDD" w14:textId="77777777" w:rsidR="009721A5" w:rsidRDefault="009721A5" w:rsidP="009F7EF4">
      <w:r>
        <w:separator/>
      </w:r>
    </w:p>
  </w:footnote>
  <w:footnote w:type="continuationSeparator" w:id="0">
    <w:p w14:paraId="0E7E88F3" w14:textId="77777777" w:rsidR="009721A5" w:rsidRDefault="009721A5"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6"/>
  </w:num>
  <w:num w:numId="2" w16cid:durableId="1006977419">
    <w:abstractNumId w:val="2"/>
  </w:num>
  <w:num w:numId="3" w16cid:durableId="1898857309">
    <w:abstractNumId w:val="5"/>
  </w:num>
  <w:num w:numId="4" w16cid:durableId="813376198">
    <w:abstractNumId w:val="0"/>
  </w:num>
  <w:num w:numId="5" w16cid:durableId="1301183043">
    <w:abstractNumId w:val="1"/>
  </w:num>
  <w:num w:numId="6" w16cid:durableId="1987202998">
    <w:abstractNumId w:val="3"/>
  </w:num>
  <w:num w:numId="7" w16cid:durableId="834998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25CD3"/>
    <w:rsid w:val="00077037"/>
    <w:rsid w:val="000930F6"/>
    <w:rsid w:val="0009537E"/>
    <w:rsid w:val="00097803"/>
    <w:rsid w:val="00101CC6"/>
    <w:rsid w:val="001426AA"/>
    <w:rsid w:val="001729AE"/>
    <w:rsid w:val="001F3394"/>
    <w:rsid w:val="00206FE0"/>
    <w:rsid w:val="00214AB7"/>
    <w:rsid w:val="00262806"/>
    <w:rsid w:val="00291327"/>
    <w:rsid w:val="00296F77"/>
    <w:rsid w:val="002B3295"/>
    <w:rsid w:val="002E376C"/>
    <w:rsid w:val="003A7E5E"/>
    <w:rsid w:val="003C561A"/>
    <w:rsid w:val="003E2FF4"/>
    <w:rsid w:val="004404F6"/>
    <w:rsid w:val="00467507"/>
    <w:rsid w:val="00474D04"/>
    <w:rsid w:val="00476F6E"/>
    <w:rsid w:val="00484D15"/>
    <w:rsid w:val="004D4FC6"/>
    <w:rsid w:val="005154EE"/>
    <w:rsid w:val="00552932"/>
    <w:rsid w:val="005A203D"/>
    <w:rsid w:val="005D1A85"/>
    <w:rsid w:val="006022F0"/>
    <w:rsid w:val="00617B3E"/>
    <w:rsid w:val="006A777A"/>
    <w:rsid w:val="006C38A6"/>
    <w:rsid w:val="006E15DE"/>
    <w:rsid w:val="00712188"/>
    <w:rsid w:val="00792165"/>
    <w:rsid w:val="00834F1A"/>
    <w:rsid w:val="00867C2F"/>
    <w:rsid w:val="00876E46"/>
    <w:rsid w:val="008F2D6A"/>
    <w:rsid w:val="00926FFB"/>
    <w:rsid w:val="00955D28"/>
    <w:rsid w:val="009721A5"/>
    <w:rsid w:val="009832C0"/>
    <w:rsid w:val="009A15FD"/>
    <w:rsid w:val="009D22BE"/>
    <w:rsid w:val="009D6A26"/>
    <w:rsid w:val="009F7EF4"/>
    <w:rsid w:val="00A1649A"/>
    <w:rsid w:val="00A721F8"/>
    <w:rsid w:val="00AA2296"/>
    <w:rsid w:val="00AA6B2F"/>
    <w:rsid w:val="00AE0035"/>
    <w:rsid w:val="00AE137A"/>
    <w:rsid w:val="00B005CF"/>
    <w:rsid w:val="00B03BA7"/>
    <w:rsid w:val="00B11B9B"/>
    <w:rsid w:val="00B32A37"/>
    <w:rsid w:val="00B33305"/>
    <w:rsid w:val="00BA6BA9"/>
    <w:rsid w:val="00BC5824"/>
    <w:rsid w:val="00BE56CA"/>
    <w:rsid w:val="00BF3ECD"/>
    <w:rsid w:val="00C04CCC"/>
    <w:rsid w:val="00C22D45"/>
    <w:rsid w:val="00C4747D"/>
    <w:rsid w:val="00C51C42"/>
    <w:rsid w:val="00C66067"/>
    <w:rsid w:val="00C807CF"/>
    <w:rsid w:val="00CA1142"/>
    <w:rsid w:val="00CD14E6"/>
    <w:rsid w:val="00CF3296"/>
    <w:rsid w:val="00CF5AE9"/>
    <w:rsid w:val="00D042E3"/>
    <w:rsid w:val="00D045E9"/>
    <w:rsid w:val="00D26E80"/>
    <w:rsid w:val="00D3440D"/>
    <w:rsid w:val="00D843BF"/>
    <w:rsid w:val="00E42392"/>
    <w:rsid w:val="00E45105"/>
    <w:rsid w:val="00E50670"/>
    <w:rsid w:val="00E507C2"/>
    <w:rsid w:val="00E5304C"/>
    <w:rsid w:val="00E85D9E"/>
    <w:rsid w:val="00ED29C6"/>
    <w:rsid w:val="00F243DB"/>
    <w:rsid w:val="00F50093"/>
    <w:rsid w:val="00F97B7C"/>
    <w:rsid w:val="00FC189C"/>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324</Words>
  <Characters>1784</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36</cp:revision>
  <cp:lastPrinted>2022-12-20T16:37:00Z</cp:lastPrinted>
  <dcterms:created xsi:type="dcterms:W3CDTF">2018-07-09T19:23:00Z</dcterms:created>
  <dcterms:modified xsi:type="dcterms:W3CDTF">2024-08-06T18:09:00Z</dcterms:modified>
</cp:coreProperties>
</file>